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t>O. Reg. 246/22 s.267(1): “Every licensee of a long-term care home shall establish and implement a written visitor policy which at a minimum,”</w:t>
      </w:r>
    </w:p>
    <w:tbl>
      <w:tblPr>
        <w:tblStyle w:val="TableGrid"/>
        <w:tblW w:type="dxa" w:w="14480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firstColumn="1" w:firstRow="1" w:lastColumn="0" w:lastRow="0" w:noHBand="0" w:noVBand="1" w:val="04A0"/>
      </w:tblPr>
      <w:tblGrid>
        <w:gridCol w:w="801"/>
        <w:gridCol w:w="1374"/>
        <w:gridCol w:w="6009"/>
        <w:gridCol w:w="3720"/>
        <w:gridCol w:w="2576"/>
      </w:tblGrid>
      <w:tr>
        <w:trPr>
          <w:tblHeader w:val="true"/>
        </w:trPr>
        <w:tc>
          <w:tcPr>
            <w:tcW w:type="dxa" w:w="801"/>
          </w:tcPr>
          <w:p>
            <w:r>
              <w:rPr>
                <w:b/>
              </w:rPr>
              <w:t>Done</w:t>
            </w:r>
          </w:p>
        </w:tc>
        <w:tc>
          <w:tcPr>
            <w:tcW w:type="dxa" w:w="1374"/>
          </w:tcPr>
          <w:p>
            <w:r>
              <w:rPr>
                <w:b/>
              </w:rPr>
              <w:t>Clause</w:t>
            </w:r>
          </w:p>
        </w:tc>
        <w:tc>
          <w:tcPr>
            <w:tcW w:type="dxa" w:w="6009"/>
          </w:tcPr>
          <w:p>
            <w:r>
              <w:rPr>
                <w:b/>
              </w:rPr>
              <w:t>Regulation text</w:t>
            </w:r>
          </w:p>
        </w:tc>
        <w:tc>
          <w:tcPr>
            <w:tcW w:type="dxa" w:w="3720"/>
          </w:tcPr>
          <w:p>
            <w:r>
              <w:rPr>
                <w:b/>
              </w:rPr>
              <w:t>Plain-language note</w:t>
            </w:r>
          </w:p>
        </w:tc>
        <w:tc>
          <w:tcPr>
            <w:tcW w:type="dxa" w:w="2576"/>
          </w:tcPr>
          <w:p>
            <w:r>
              <w:rPr>
                <w:b/>
              </w:rPr>
              <w:t>Where in our policy</w:t>
            </w:r>
          </w:p>
        </w:tc>
      </w:tr>
      <w:tr>
        <w:tc>
          <w:tcPr>
            <w:tcW w:type="dxa" w:w="801"/>
          </w:tcPr>
          <w:p>
            <w:r>
              <w:t>☐</w:t>
            </w:r>
          </w:p>
        </w:tc>
        <w:tc>
          <w:tcPr>
            <w:tcW w:type="dxa" w:w="1374"/>
          </w:tcPr>
          <w:p>
            <w:r>
              <w:t>s.267(1)(a)</w:t>
            </w:r>
          </w:p>
        </w:tc>
        <w:tc>
          <w:tcPr>
            <w:tcW w:type="dxa" w:w="6009"/>
          </w:tcPr>
          <w:p>
            <w:r>
              <w:t>“includes the process for visitor access during non-outbreak situations and during an outbreak of a communicable disease, an outbreak of a disease of public health significance, an epidemic, a pandemic or another emergency;”</w:t>
            </w:r>
          </w:p>
        </w:tc>
        <w:tc>
          <w:tcPr>
            <w:tcW w:type="dxa" w:w="3720"/>
          </w:tcPr>
          <w:p>
            <w:r>
              <w:t>Two sets of procedures: ordinary days and outbreaks or emergencies.</w:t>
            </w:r>
          </w:p>
        </w:tc>
        <w:tc>
          <w:tcPr>
            <w:tcW w:type="dxa" w:w="2576"/>
          </w:tcPr>
          <w:p>
            <w:r/>
          </w:p>
        </w:tc>
      </w:tr>
      <w:tr>
        <w:tc>
          <w:tcPr>
            <w:tcW w:type="dxa" w:w="801"/>
          </w:tcPr>
          <w:p>
            <w:r>
              <w:t>☐</w:t>
            </w:r>
          </w:p>
        </w:tc>
        <w:tc>
          <w:tcPr>
            <w:tcW w:type="dxa" w:w="1374"/>
          </w:tcPr>
          <w:p>
            <w:r>
              <w:t>s.267(1)(b)(i)</w:t>
            </w:r>
          </w:p>
        </w:tc>
        <w:tc>
          <w:tcPr>
            <w:tcW w:type="dxa" w:w="6009"/>
          </w:tcPr>
          <w:p>
            <w:r>
              <w:t>“includes the process for documenting and keeping a written record of, (i) the designation of a caregiver; and”</w:t>
            </w:r>
          </w:p>
        </w:tc>
        <w:tc>
          <w:tcPr>
            <w:tcW w:type="dxa" w:w="3720"/>
          </w:tcPr>
          <w:p>
            <w:r>
              <w:t>How a caregiver is designated, who records it, and where the record is kept.</w:t>
            </w:r>
          </w:p>
        </w:tc>
        <w:tc>
          <w:tcPr>
            <w:tcW w:type="dxa" w:w="2576"/>
          </w:tcPr>
          <w:p>
            <w:r/>
          </w:p>
        </w:tc>
      </w:tr>
      <w:tr>
        <w:tc>
          <w:tcPr>
            <w:tcW w:type="dxa" w:w="801"/>
          </w:tcPr>
          <w:p>
            <w:r>
              <w:t>☐</w:t>
            </w:r>
          </w:p>
        </w:tc>
        <w:tc>
          <w:tcPr>
            <w:tcW w:type="dxa" w:w="1374"/>
          </w:tcPr>
          <w:p>
            <w:r>
              <w:t>s.267(1)(b)(ii)</w:t>
            </w:r>
          </w:p>
        </w:tc>
        <w:tc>
          <w:tcPr>
            <w:tcW w:type="dxa" w:w="6009"/>
          </w:tcPr>
          <w:p>
            <w:r>
              <w:t>“the approval from a parent or legal guardian to permit persons under 16 years of age to be designated as a caregiver, if applicable;”</w:t>
            </w:r>
          </w:p>
        </w:tc>
        <w:tc>
          <w:tcPr>
            <w:tcW w:type="dxa" w:w="3720"/>
          </w:tcPr>
          <w:p>
            <w:r>
              <w:t>If someone under 16 can be a caregiver, a way to record the parent or guardian approval.</w:t>
            </w:r>
          </w:p>
        </w:tc>
        <w:tc>
          <w:tcPr>
            <w:tcW w:type="dxa" w:w="2576"/>
          </w:tcPr>
          <w:p>
            <w:r/>
          </w:p>
        </w:tc>
      </w:tr>
      <w:tr>
        <w:tc>
          <w:tcPr>
            <w:tcW w:type="dxa" w:w="801"/>
          </w:tcPr>
          <w:p>
            <w:r>
              <w:t>☐</w:t>
            </w:r>
          </w:p>
        </w:tc>
        <w:tc>
          <w:tcPr>
            <w:tcW w:type="dxa" w:w="1374"/>
          </w:tcPr>
          <w:p>
            <w:r>
              <w:t>s.267(1)(c)</w:t>
            </w:r>
          </w:p>
        </w:tc>
        <w:tc>
          <w:tcPr>
            <w:tcW w:type="dxa" w:w="6009"/>
          </w:tcPr>
          <w:p>
            <w:r>
              <w:t>“complies with all applicable laws including any applicable directives, orders, guidance, advice or recommendations issued by the Chief Medical Officer of Health or a medical officer of health appointed under the Health Protection and Promotion Act; and”</w:t>
            </w:r>
          </w:p>
        </w:tc>
        <w:tc>
          <w:tcPr>
            <w:tcW w:type="dxa" w:w="3720"/>
          </w:tcPr>
          <w:p>
            <w:r>
              <w:t>Checked against current public health directives; someone owns updating it.</w:t>
            </w:r>
          </w:p>
        </w:tc>
        <w:tc>
          <w:tcPr>
            <w:tcW w:type="dxa" w:w="2576"/>
          </w:tcPr>
          <w:p>
            <w:r/>
          </w:p>
        </w:tc>
      </w:tr>
      <w:tr>
        <w:tc>
          <w:tcPr>
            <w:tcW w:type="dxa" w:w="801"/>
          </w:tcPr>
          <w:p>
            <w:r>
              <w:t>☐</w:t>
            </w:r>
          </w:p>
        </w:tc>
        <w:tc>
          <w:tcPr>
            <w:tcW w:type="dxa" w:w="1374"/>
          </w:tcPr>
          <w:p>
            <w:r>
              <w:t>s.267(1)(d)</w:t>
            </w:r>
          </w:p>
        </w:tc>
        <w:tc>
          <w:tcPr>
            <w:tcW w:type="dxa" w:w="6009"/>
          </w:tcPr>
          <w:p>
            <w:r>
              <w:t>“ensures that essential visitors continue to have access to the long-term care home during an outbreak of a communicable disease, an outbreak of a disease of public health significance, an epidemic, a pandemic or another emergency, subject to any applicable laws.”</w:t>
            </w:r>
          </w:p>
        </w:tc>
        <w:tc>
          <w:tcPr>
            <w:tcW w:type="dxa" w:w="3720"/>
          </w:tcPr>
          <w:p>
            <w:r>
              <w:t>Essential visitors as s.267(4) defines them: “(a) a caregiver, (b) a support worker who visits a home to provide support to the critical operations of the home or to provide essential services to residents, (c) a person visiting a very ill resident for compassionate reasons including, but not limited to, hospice services or end-of-life care, or (d) a government inspector with a statutory right to enter a long-term care home to carry out their duties.” The outbreak and emergency procedures should keep each of them coming in.</w:t>
            </w:r>
          </w:p>
        </w:tc>
        <w:tc>
          <w:tcPr>
            <w:tcW w:type="dxa" w:w="2576"/>
          </w:tcPr>
          <w:p>
            <w:r/>
          </w:p>
        </w:tc>
      </w:tr>
      <w:tr>
        <w:tc>
          <w:tcPr>
            <w:tcW w:type="dxa" w:w="801"/>
          </w:tcPr>
          <w:p>
            <w:r>
              <w:t>☐</w:t>
            </w:r>
          </w:p>
        </w:tc>
        <w:tc>
          <w:tcPr>
            <w:tcW w:type="dxa" w:w="1374"/>
          </w:tcPr>
          <w:p>
            <w:r>
              <w:t>s.267(3)</w:t>
            </w:r>
          </w:p>
        </w:tc>
        <w:tc>
          <w:tcPr>
            <w:tcW w:type="dxa" w:w="6009"/>
          </w:tcPr>
          <w:p>
            <w:r>
              <w:t>“Every licensee of a long-term care home shall ensure that the current version of the visitor policy is provided to the Residents’ Council and Family Council, if any.”</w:t>
            </w:r>
          </w:p>
        </w:tc>
        <w:tc>
          <w:tcPr>
            <w:tcW w:type="dxa" w:w="3720"/>
          </w:tcPr>
          <w:p>
            <w:r>
              <w:t>Record when the current version went to each council.</w:t>
            </w:r>
          </w:p>
        </w:tc>
        <w:tc>
          <w:tcPr>
            <w:tcW w:type="dxa" w:w="2576"/>
          </w:tcPr>
          <w:p>
            <w:r/>
          </w:p>
        </w:tc>
      </w:tr>
    </w:tbl>
    <w:sectPr w:rsidR="00FC693F" w:rsidRPr="0006063C" w:rsidSect="00034616">
      <w:headerReference w:type="default" r:id="rId9"/>
      <w:footerReference w:type="default" r:id="rId10"/>
      <w:pgSz w:w="15840" w:h="12240" w:orient="landscape"/>
      <w:pgMar w:top="1361" w:right="680" w:bottom="1020" w:left="680" w:header="454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4"/>
      </w:rPr>
      <w:t>Not legal advice. Last checked 7 October 2026 against O. Reg. 246/22 s.267(1), https://www.ontario.ca/laws/regulation/220246.</w:t>
    </w:r>
  </w:p>
  <w:p>
    <w:pPr>
      <w:tabs>
        <w:tab w:pos="14479" w:val="right"/>
      </w:tabs>
    </w:pPr>
    <w:r>
      <w:rPr>
        <w:sz w:val="14"/>
      </w:rPr>
      <w:t>Digital Front Desk free template: digitalfrontdesk.ca/resources/ontario-ltc-visitor-policy-checklist</w:t>
    </w:r>
    <w:r>
      <w:rPr>
        <w:sz w:val="14"/>
      </w:rPr>
      <w:tab/>
      <w:t xml:space="preserve">Page </w:t>
    </w:r>
    <w:fldSimple w:instr="PAGE">
      <w:r>
        <w:rPr>
          <w:sz w:val="14"/>
        </w:rPr>
        <w:t>1</w:t>
      </w:r>
    </w:fldSimple>
    <w:r>
      <w:rPr>
        <w:sz w:val="14"/>
      </w:rPr>
      <w:t xml:space="preserve"> of </w:t>
    </w:r>
    <w:fldSimple w:instr="NUMPAGES">
      <w:r>
        <w:rPr>
          <w:sz w:val="14"/>
        </w:rP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60"/>
    </w:pPr>
    <w:r>
      <w:rPr>
        <w:b/>
        <w:sz w:val="28"/>
      </w:rPr>
      <w:t>Ontario long-term care visitor policy checklist</w:t>
    </w:r>
  </w:p>
  <w:p>
    <w:pPr>
      <w:spacing w:after="40"/>
    </w:pPr>
    <w:r>
      <w:rPr>
        <w:sz w:val="20"/>
      </w:rPr>
      <w:t>Home name: ____________________   Reviewed by: ______________   Date: __________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Ontario long-term care visitor policy checklist</dc:title>
  <dc:subject/>
  <dc:creator>Digital Front Desk</dc:creator>
  <cp:keywords/>
  <dc:description>generated by python-docx</dc:description>
  <cp:lastModifiedBy>Digital Front Desk</cp:lastModifiedBy>
  <cp:revision>1</cp:revision>
  <dcterms:created xsi:type="dcterms:W3CDTF">2026-10-07T00:00:00Z</dcterms:created>
  <dcterms:modified xsi:type="dcterms:W3CDTF">2026-10-07T00:00:00Z</dcterms:modified>
  <cp:category/>
  <cp:lastPrinted>2026-10-07T00:00:00Z</cp:lastPrinted>
</cp:coreProperties>
</file>